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E614C" w14:textId="77777777" w:rsidR="00F636E3" w:rsidRDefault="00F636E3" w:rsidP="00F636E3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14:paraId="5B7797AB" w14:textId="77777777" w:rsidR="00F636E3" w:rsidRDefault="00F636E3" w:rsidP="00F636E3">
      <w:pPr>
        <w:pStyle w:val="ConsPlusNormal"/>
        <w:jc w:val="both"/>
        <w:outlineLvl w:val="0"/>
      </w:pPr>
    </w:p>
    <w:p w14:paraId="16026D17" w14:textId="77777777" w:rsidR="00F636E3" w:rsidRDefault="00F636E3" w:rsidP="00F636E3">
      <w:pPr>
        <w:pStyle w:val="ConsPlusTitle"/>
        <w:jc w:val="center"/>
      </w:pPr>
      <w:r>
        <w:t>МИНИСТЕРСТВО ФИНАНСОВ РОССИЙСКОЙ ФЕДЕРАЦИИ</w:t>
      </w:r>
    </w:p>
    <w:p w14:paraId="761FC965" w14:textId="77777777" w:rsidR="00F636E3" w:rsidRDefault="00F636E3" w:rsidP="00F636E3">
      <w:pPr>
        <w:pStyle w:val="ConsPlusTitle"/>
        <w:jc w:val="center"/>
      </w:pPr>
    </w:p>
    <w:p w14:paraId="3C7E10D1" w14:textId="77777777" w:rsidR="00F636E3" w:rsidRDefault="00F636E3" w:rsidP="00F636E3">
      <w:pPr>
        <w:pStyle w:val="ConsPlusTitle"/>
        <w:jc w:val="center"/>
      </w:pPr>
      <w:r>
        <w:t>ФЕДЕРАЛЬНАЯ НАЛОГОВАЯ СЛУЖБА</w:t>
      </w:r>
    </w:p>
    <w:p w14:paraId="4B57F5C5" w14:textId="77777777" w:rsidR="00F636E3" w:rsidRDefault="00F636E3" w:rsidP="00F636E3">
      <w:pPr>
        <w:pStyle w:val="ConsPlusTitle"/>
        <w:jc w:val="center"/>
      </w:pPr>
    </w:p>
    <w:p w14:paraId="087C6A3A" w14:textId="77777777" w:rsidR="00F636E3" w:rsidRDefault="00F636E3" w:rsidP="00F636E3">
      <w:pPr>
        <w:pStyle w:val="ConsPlusTitle"/>
        <w:jc w:val="center"/>
      </w:pPr>
      <w:r>
        <w:t>ПИСЬМО</w:t>
      </w:r>
    </w:p>
    <w:p w14:paraId="2803D683" w14:textId="77777777" w:rsidR="00F636E3" w:rsidRDefault="00F636E3" w:rsidP="00F636E3">
      <w:pPr>
        <w:pStyle w:val="ConsPlusTitle"/>
        <w:jc w:val="center"/>
      </w:pPr>
      <w:r>
        <w:t>от 6 сентября 2024 г. N СД-4-3/10249@</w:t>
      </w:r>
    </w:p>
    <w:p w14:paraId="36493635" w14:textId="77777777" w:rsidR="00F636E3" w:rsidRDefault="00F636E3" w:rsidP="00F636E3">
      <w:pPr>
        <w:pStyle w:val="ConsPlusTitle"/>
        <w:jc w:val="center"/>
      </w:pPr>
    </w:p>
    <w:p w14:paraId="31B16832" w14:textId="77777777" w:rsidR="00F636E3" w:rsidRDefault="00F636E3" w:rsidP="00F636E3">
      <w:pPr>
        <w:pStyle w:val="ConsPlusTitle"/>
        <w:jc w:val="center"/>
      </w:pPr>
      <w:r>
        <w:t>О НАЛОГЕ НА ДОБАВЛЕННУЮ СТОИМОСТЬ</w:t>
      </w:r>
    </w:p>
    <w:p w14:paraId="7DF710F0" w14:textId="77777777" w:rsidR="00F636E3" w:rsidRDefault="00F636E3" w:rsidP="00F636E3">
      <w:pPr>
        <w:pStyle w:val="ConsPlusNormal"/>
        <w:jc w:val="center"/>
      </w:pPr>
    </w:p>
    <w:p w14:paraId="0A51D209" w14:textId="77777777" w:rsidR="00F636E3" w:rsidRDefault="00F636E3" w:rsidP="00F636E3">
      <w:pPr>
        <w:pStyle w:val="ConsPlusNormal"/>
        <w:ind w:firstLine="540"/>
        <w:jc w:val="both"/>
      </w:pPr>
      <w:r>
        <w:t xml:space="preserve">Федеральная налоговая служба в связи с изменениями, внесенными в </w:t>
      </w:r>
      <w:hyperlink r:id="rId5">
        <w:r>
          <w:rPr>
            <w:color w:val="0000FF"/>
          </w:rPr>
          <w:t>статьи 146</w:t>
        </w:r>
      </w:hyperlink>
      <w:r>
        <w:t xml:space="preserve"> и </w:t>
      </w:r>
      <w:hyperlink r:id="rId6">
        <w:r>
          <w:rPr>
            <w:color w:val="0000FF"/>
          </w:rPr>
          <w:t>149</w:t>
        </w:r>
      </w:hyperlink>
      <w:r>
        <w:t xml:space="preserve"> Налогового кодекса Российской Федерации (далее - Кодекс)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08.08.2024 N 259-ФЗ "О внесении изменений в части первую и вторую Налогового кодекса Российской Федерации и в отдельные законодательные акты Российской Федерации о налогах и сборах" (далее - Федеральный закон N 259-ФЗ), сообщает следующее.</w:t>
      </w:r>
    </w:p>
    <w:p w14:paraId="7FF346B5" w14:textId="77777777" w:rsidR="00F636E3" w:rsidRDefault="00F636E3" w:rsidP="00F636E3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N 259-ФЗ </w:t>
      </w:r>
      <w:hyperlink r:id="rId9">
        <w:r>
          <w:rPr>
            <w:color w:val="0000FF"/>
          </w:rPr>
          <w:t>пункт 2 статьи 146</w:t>
        </w:r>
      </w:hyperlink>
      <w:r>
        <w:t xml:space="preserve"> Кодекса, </w:t>
      </w:r>
      <w:hyperlink r:id="rId10">
        <w:r>
          <w:rPr>
            <w:color w:val="0000FF"/>
          </w:rPr>
          <w:t>пункты 2</w:t>
        </w:r>
      </w:hyperlink>
      <w:r>
        <w:t xml:space="preserve"> и </w:t>
      </w:r>
      <w:hyperlink r:id="rId11">
        <w:r>
          <w:rPr>
            <w:color w:val="0000FF"/>
          </w:rPr>
          <w:t>3 статьи 149</w:t>
        </w:r>
      </w:hyperlink>
      <w:r>
        <w:t xml:space="preserve"> Кодекса дополнены следующими операциями, не облагаемыми НДС:</w:t>
      </w:r>
    </w:p>
    <w:p w14:paraId="32EC8ABC" w14:textId="77777777" w:rsidR="00F636E3" w:rsidRDefault="00F636E3" w:rsidP="00F636E3">
      <w:pPr>
        <w:pStyle w:val="ConsPlusNormal"/>
        <w:spacing w:before="220"/>
        <w:ind w:firstLine="540"/>
        <w:jc w:val="both"/>
      </w:pPr>
      <w:r>
        <w:t xml:space="preserve">передача на безвозмездной основе движимого имущества, оказание услуг по передаче в безвозмездное пользование недвижимого имущества некоммерческой организацией, признаваемой в соответствии с законодательством Российской Федерации благотворительным фондом или автономной некоммерческой организацией, образовательной некоммерческой организации, оказывающей не достигшим возраста 18 лет детям и детям-сиротам, и (или) детям-инвалидам, и (или) детям, оставшимся без попечения родителей, на безвозмездной основе услуги в сфере образования по реализации основных и (или) дополнительных образовательных программ, предусмотренных лицензией, при условии, что получаемые образовательной некоммерческой организацией доходы, подлежащие налогообложению налогом на прибыль организаций в соответствии с </w:t>
      </w:r>
      <w:hyperlink r:id="rId12">
        <w:r>
          <w:rPr>
            <w:color w:val="0000FF"/>
          </w:rPr>
          <w:t>главой 25</w:t>
        </w:r>
      </w:hyperlink>
      <w:r>
        <w:t xml:space="preserve"> Кодекса, не превышают 1 процента от суммы целевых поступлений на содержание этой образовательной некоммерческой организации и ведение ею уставной деятельности за налоговый период по налогу на прибыль организаций (</w:t>
      </w:r>
      <w:hyperlink r:id="rId13">
        <w:r>
          <w:rPr>
            <w:color w:val="0000FF"/>
          </w:rPr>
          <w:t>подпункт 25 пункта 2 статьи 146</w:t>
        </w:r>
      </w:hyperlink>
      <w:r>
        <w:t xml:space="preserve"> Кодекса);</w:t>
      </w:r>
    </w:p>
    <w:p w14:paraId="3793273D" w14:textId="77777777" w:rsidR="00F636E3" w:rsidRDefault="00F636E3" w:rsidP="00F636E3">
      <w:pPr>
        <w:pStyle w:val="ConsPlusNormal"/>
        <w:spacing w:before="220"/>
        <w:ind w:firstLine="540"/>
        <w:jc w:val="both"/>
      </w:pPr>
      <w:r>
        <w:t xml:space="preserve">выполнение работ (оказание услуг) на безвозмездной основе автономной некоммерческой организацией по эксплуатации и ремонту движимого и недвижимого имущества, указанного в </w:t>
      </w:r>
      <w:hyperlink r:id="rId14">
        <w:r>
          <w:rPr>
            <w:color w:val="0000FF"/>
          </w:rPr>
          <w:t>подпункте 25 пункта 2 статьи 146</w:t>
        </w:r>
      </w:hyperlink>
      <w:r>
        <w:t xml:space="preserve"> Кодекса (</w:t>
      </w:r>
      <w:hyperlink r:id="rId15">
        <w:r>
          <w:rPr>
            <w:color w:val="0000FF"/>
          </w:rPr>
          <w:t>подпункт 26 пункта 2 статьи 146</w:t>
        </w:r>
      </w:hyperlink>
      <w:r>
        <w:t xml:space="preserve"> Кодекса);</w:t>
      </w:r>
    </w:p>
    <w:p w14:paraId="235519F1" w14:textId="77777777" w:rsidR="00F636E3" w:rsidRDefault="00F636E3" w:rsidP="00F636E3">
      <w:pPr>
        <w:pStyle w:val="ConsPlusNormal"/>
        <w:spacing w:before="220"/>
        <w:ind w:firstLine="540"/>
        <w:jc w:val="both"/>
      </w:pPr>
      <w:r>
        <w:t>реализация услуг по предоставлению в аренду автомобилей скорой медицинской помощи с экипажем (водителем) медицинским организациям государственной и муниципальной системы здравоохранения в целях оказания указанными медицинскими организациями услуг скорой медицинской помощи населению (</w:t>
      </w:r>
      <w:hyperlink r:id="rId16">
        <w:r>
          <w:rPr>
            <w:color w:val="0000FF"/>
          </w:rPr>
          <w:t>подпункт 33.1 пункта 2 статьи 149</w:t>
        </w:r>
      </w:hyperlink>
      <w:r>
        <w:t xml:space="preserve"> Кодекса);</w:t>
      </w:r>
    </w:p>
    <w:p w14:paraId="12D0F0AB" w14:textId="77777777" w:rsidR="00F636E3" w:rsidRDefault="00F636E3" w:rsidP="00F636E3">
      <w:pPr>
        <w:pStyle w:val="ConsPlusNormal"/>
        <w:spacing w:before="220"/>
        <w:ind w:firstLine="540"/>
        <w:jc w:val="both"/>
      </w:pPr>
      <w:r>
        <w:t>реализация услуг по перевозке автомобилями скорой медицинской помощи бригад скорой медицинской помощи, включая медицинскую эвакуацию граждан, по договорам с медицинскими организациями государственной и муниципальной системы здравоохранения в целях оказания указанными медицинскими организациями услуг скорой медицинской помощи населению (</w:t>
      </w:r>
      <w:hyperlink r:id="rId17">
        <w:r>
          <w:rPr>
            <w:color w:val="0000FF"/>
          </w:rPr>
          <w:t>подпункт 33.2 пункта 2 статьи 149</w:t>
        </w:r>
      </w:hyperlink>
      <w:r>
        <w:t xml:space="preserve"> Кодекса);</w:t>
      </w:r>
    </w:p>
    <w:p w14:paraId="74AD99D9" w14:textId="77777777" w:rsidR="00F636E3" w:rsidRDefault="00F636E3" w:rsidP="00F636E3">
      <w:pPr>
        <w:pStyle w:val="ConsPlusNormal"/>
        <w:spacing w:before="220"/>
        <w:ind w:firstLine="540"/>
        <w:jc w:val="both"/>
      </w:pPr>
      <w:r>
        <w:t xml:space="preserve">реализация услуг по обращению с твердыми коммунальными отходами, предоставляемых управляющими организациями, товариществами собственников жилья, жилищно-строительными, жилищными или иными специализированными потребительскими кооперативами, созданными в целях удовлетворения потребностей граждан в жилье и отвечающими за обслуживание внутридомовых инженерных систем, с использованием которых предоставляются коммунальные </w:t>
      </w:r>
      <w:r>
        <w:lastRenderedPageBreak/>
        <w:t>услуги, при условии приобретения услуг по обращению с твердыми коммунальными отходами указанными налогоплательщиками у региональных операторов по обращению с твердыми коммунальными отходами (</w:t>
      </w:r>
      <w:hyperlink r:id="rId18">
        <w:r>
          <w:rPr>
            <w:color w:val="0000FF"/>
          </w:rPr>
          <w:t>подпункт 29.1 пункта 3 статьи 149</w:t>
        </w:r>
      </w:hyperlink>
      <w:r>
        <w:t xml:space="preserve"> Кодекса).</w:t>
      </w:r>
    </w:p>
    <w:p w14:paraId="42F40FD8" w14:textId="77777777" w:rsidR="00F636E3" w:rsidRDefault="00F636E3" w:rsidP="00F636E3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9">
        <w:r>
          <w:rPr>
            <w:color w:val="0000FF"/>
          </w:rPr>
          <w:t>закон</w:t>
        </w:r>
      </w:hyperlink>
      <w:r>
        <w:t xml:space="preserve"> N 259-ФЗ вступил в силу 08.08.2024 (</w:t>
      </w:r>
      <w:hyperlink r:id="rId20">
        <w:r>
          <w:rPr>
            <w:color w:val="0000FF"/>
          </w:rPr>
          <w:t>пункт 19</w:t>
        </w:r>
      </w:hyperlink>
      <w:r>
        <w:t xml:space="preserve"> Федерального закона N 259-ФЗ)</w:t>
      </w:r>
    </w:p>
    <w:p w14:paraId="2810AE9B" w14:textId="77777777" w:rsidR="00F636E3" w:rsidRDefault="00F636E3" w:rsidP="00F636E3">
      <w:pPr>
        <w:pStyle w:val="ConsPlusNormal"/>
        <w:spacing w:before="220"/>
        <w:ind w:firstLine="540"/>
        <w:jc w:val="both"/>
      </w:pPr>
      <w:r>
        <w:t xml:space="preserve">При этом действие положений </w:t>
      </w:r>
      <w:hyperlink r:id="rId21">
        <w:r>
          <w:rPr>
            <w:color w:val="0000FF"/>
          </w:rPr>
          <w:t>подпунктов 25</w:t>
        </w:r>
      </w:hyperlink>
      <w:r>
        <w:t xml:space="preserve"> и </w:t>
      </w:r>
      <w:hyperlink r:id="rId22">
        <w:r>
          <w:rPr>
            <w:color w:val="0000FF"/>
          </w:rPr>
          <w:t>26 пункта 2 статьи 146</w:t>
        </w:r>
      </w:hyperlink>
      <w:r>
        <w:t xml:space="preserve"> Кодекса распространяется на операции, осуществленные с 1 января 2024 года, а действие положений </w:t>
      </w:r>
      <w:hyperlink r:id="rId23">
        <w:r>
          <w:rPr>
            <w:color w:val="0000FF"/>
          </w:rPr>
          <w:t>подпунктов 33.1</w:t>
        </w:r>
      </w:hyperlink>
      <w:r>
        <w:t xml:space="preserve"> и </w:t>
      </w:r>
      <w:hyperlink r:id="rId24">
        <w:r>
          <w:rPr>
            <w:color w:val="0000FF"/>
          </w:rPr>
          <w:t>33.2 пункта 2 статьи 149</w:t>
        </w:r>
      </w:hyperlink>
      <w:r>
        <w:t xml:space="preserve"> Кодекса распространяется на операции, осуществленные с 1 января 2020 года (</w:t>
      </w:r>
      <w:hyperlink r:id="rId25">
        <w:r>
          <w:rPr>
            <w:color w:val="0000FF"/>
          </w:rPr>
          <w:t>пункты 7</w:t>
        </w:r>
      </w:hyperlink>
      <w:r>
        <w:t xml:space="preserve"> и </w:t>
      </w:r>
      <w:hyperlink r:id="rId26">
        <w:r>
          <w:rPr>
            <w:color w:val="0000FF"/>
          </w:rPr>
          <w:t>16</w:t>
        </w:r>
      </w:hyperlink>
      <w:r>
        <w:t xml:space="preserve"> Федерального закона N 259-Ф).</w:t>
      </w:r>
    </w:p>
    <w:p w14:paraId="230741AF" w14:textId="77777777" w:rsidR="00F636E3" w:rsidRDefault="00F636E3" w:rsidP="00F636E3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27">
        <w:r>
          <w:rPr>
            <w:color w:val="0000FF"/>
          </w:rPr>
          <w:t>пункту 4</w:t>
        </w:r>
      </w:hyperlink>
      <w:r>
        <w:t xml:space="preserve"> Федерального закона N 259-ФЗ положения </w:t>
      </w:r>
      <w:hyperlink r:id="rId28">
        <w:r>
          <w:rPr>
            <w:color w:val="0000FF"/>
          </w:rPr>
          <w:t>подпункта 29.1 пункта 3 статьи 149</w:t>
        </w:r>
      </w:hyperlink>
      <w:r>
        <w:t xml:space="preserve"> Кодекса вступают в силу с 01.10.2024.</w:t>
      </w:r>
    </w:p>
    <w:p w14:paraId="686F9417" w14:textId="77777777" w:rsidR="00F636E3" w:rsidRDefault="00F636E3" w:rsidP="00F636E3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Раздел II</w:t>
        </w:r>
      </w:hyperlink>
      <w:r>
        <w:t xml:space="preserve"> "Операции, не подлежащие налогообложению (освобождаемые от налогообложения)" приложения N 1 к Порядку заполнения налоговой декларации по налогу на добавленную стоимость, утвержденному приказом ФНС России от 29.10.2014 N ММВ-7-3/558@, не содержит кодов вышеуказанных операций (далее - Порядок).</w:t>
      </w:r>
    </w:p>
    <w:p w14:paraId="1B911511" w14:textId="77777777" w:rsidR="00F636E3" w:rsidRDefault="00F636E3" w:rsidP="00F636E3">
      <w:pPr>
        <w:pStyle w:val="ConsPlusNormal"/>
        <w:spacing w:before="220"/>
        <w:ind w:firstLine="540"/>
        <w:jc w:val="both"/>
      </w:pPr>
      <w:r>
        <w:t xml:space="preserve">В связи с этим, до внесения изменений в </w:t>
      </w:r>
      <w:hyperlink r:id="rId30">
        <w:r>
          <w:rPr>
            <w:color w:val="0000FF"/>
          </w:rPr>
          <w:t>приложение N 1</w:t>
        </w:r>
      </w:hyperlink>
      <w:r>
        <w:t xml:space="preserve"> к указанному Порядку налогоплательщики вправе использовать в </w:t>
      </w:r>
      <w:hyperlink r:id="rId31">
        <w:r>
          <w:rPr>
            <w:color w:val="0000FF"/>
          </w:rPr>
          <w:t>разделе 7</w:t>
        </w:r>
      </w:hyperlink>
      <w:r>
        <w:t xml:space="preserve"> декларации по НДС (в том числе в уточненных налоговых декларациях с учетом положений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N 259-ФЗ о ретроспективном применении отдельных его положений) следующие коды операций:</w:t>
      </w:r>
    </w:p>
    <w:p w14:paraId="27E1F76E" w14:textId="77777777" w:rsidR="00F636E3" w:rsidRDefault="00F636E3" w:rsidP="00F636E3">
      <w:pPr>
        <w:pStyle w:val="ConsPlusNormal"/>
        <w:spacing w:before="220"/>
        <w:ind w:firstLine="540"/>
        <w:jc w:val="both"/>
      </w:pPr>
      <w:r>
        <w:t xml:space="preserve">1010837 - операции, указанные в </w:t>
      </w:r>
      <w:hyperlink r:id="rId33">
        <w:r>
          <w:rPr>
            <w:color w:val="0000FF"/>
          </w:rPr>
          <w:t>подпункте 25 пункта 2 статьи 146</w:t>
        </w:r>
      </w:hyperlink>
      <w:r>
        <w:t xml:space="preserve"> Кодекса;</w:t>
      </w:r>
    </w:p>
    <w:p w14:paraId="22DE1107" w14:textId="77777777" w:rsidR="00F636E3" w:rsidRDefault="00F636E3" w:rsidP="00F636E3">
      <w:pPr>
        <w:pStyle w:val="ConsPlusNormal"/>
        <w:spacing w:before="220"/>
        <w:ind w:firstLine="540"/>
        <w:jc w:val="both"/>
      </w:pPr>
      <w:r>
        <w:t xml:space="preserve">1010838 - операции, указанные в </w:t>
      </w:r>
      <w:hyperlink r:id="rId34">
        <w:r>
          <w:rPr>
            <w:color w:val="0000FF"/>
          </w:rPr>
          <w:t>подпункте 26 пункта 2 статьи 146</w:t>
        </w:r>
      </w:hyperlink>
      <w:r>
        <w:t xml:space="preserve"> Кодекса;</w:t>
      </w:r>
    </w:p>
    <w:p w14:paraId="3C3FF9C2" w14:textId="77777777" w:rsidR="00F636E3" w:rsidRDefault="00F636E3" w:rsidP="00F636E3">
      <w:pPr>
        <w:pStyle w:val="ConsPlusNormal"/>
        <w:spacing w:before="220"/>
        <w:ind w:firstLine="540"/>
        <w:jc w:val="both"/>
      </w:pPr>
      <w:r>
        <w:t xml:space="preserve">1011230 - операции, указанные в </w:t>
      </w:r>
      <w:hyperlink r:id="rId35">
        <w:r>
          <w:rPr>
            <w:color w:val="0000FF"/>
          </w:rPr>
          <w:t>подпункте 33.1 пункта 2 статьи 149</w:t>
        </w:r>
      </w:hyperlink>
      <w:r>
        <w:t xml:space="preserve"> Кодекса;</w:t>
      </w:r>
    </w:p>
    <w:p w14:paraId="7D5D5480" w14:textId="77777777" w:rsidR="00F636E3" w:rsidRDefault="00F636E3" w:rsidP="00F636E3">
      <w:pPr>
        <w:pStyle w:val="ConsPlusNormal"/>
        <w:spacing w:before="220"/>
        <w:ind w:firstLine="540"/>
        <w:jc w:val="both"/>
      </w:pPr>
      <w:r>
        <w:t xml:space="preserve">1011231 - операции, указанные в </w:t>
      </w:r>
      <w:hyperlink r:id="rId36">
        <w:r>
          <w:rPr>
            <w:color w:val="0000FF"/>
          </w:rPr>
          <w:t>подпункте 33.2 пункта 2 статьи 149</w:t>
        </w:r>
      </w:hyperlink>
      <w:r>
        <w:t xml:space="preserve"> Кодекса;</w:t>
      </w:r>
    </w:p>
    <w:p w14:paraId="007FA837" w14:textId="77777777" w:rsidR="00F636E3" w:rsidRDefault="00F636E3" w:rsidP="00F636E3">
      <w:pPr>
        <w:pStyle w:val="ConsPlusNormal"/>
        <w:spacing w:before="220"/>
        <w:ind w:firstLine="540"/>
        <w:jc w:val="both"/>
      </w:pPr>
      <w:r>
        <w:t xml:space="preserve">1011232 - операции, указанные в </w:t>
      </w:r>
      <w:hyperlink r:id="rId37">
        <w:r>
          <w:rPr>
            <w:color w:val="0000FF"/>
          </w:rPr>
          <w:t>подпункте 29.1 пункта 3 статьи 149</w:t>
        </w:r>
      </w:hyperlink>
      <w:r>
        <w:t xml:space="preserve"> Кодекса.</w:t>
      </w:r>
    </w:p>
    <w:p w14:paraId="3C65073E" w14:textId="77777777" w:rsidR="00F636E3" w:rsidRDefault="00F636E3" w:rsidP="00F636E3">
      <w:pPr>
        <w:pStyle w:val="ConsPlusNormal"/>
        <w:spacing w:before="220"/>
        <w:ind w:firstLine="540"/>
        <w:jc w:val="both"/>
      </w:pPr>
      <w:r>
        <w:t>Доведите настоящее письмо до нижестоящих налоговых органов.</w:t>
      </w:r>
    </w:p>
    <w:p w14:paraId="0AD3B762" w14:textId="77777777" w:rsidR="00F636E3" w:rsidRDefault="00F636E3" w:rsidP="00F636E3">
      <w:pPr>
        <w:pStyle w:val="ConsPlusNormal"/>
        <w:ind w:firstLine="540"/>
        <w:jc w:val="both"/>
      </w:pPr>
    </w:p>
    <w:p w14:paraId="772EF215" w14:textId="77777777" w:rsidR="00F636E3" w:rsidRDefault="00F636E3" w:rsidP="00F636E3">
      <w:pPr>
        <w:pStyle w:val="ConsPlusNormal"/>
        <w:jc w:val="right"/>
      </w:pPr>
      <w:r>
        <w:t>Действительный</w:t>
      </w:r>
    </w:p>
    <w:p w14:paraId="5F09F468" w14:textId="77777777" w:rsidR="00F636E3" w:rsidRDefault="00F636E3" w:rsidP="00F636E3">
      <w:pPr>
        <w:pStyle w:val="ConsPlusNormal"/>
        <w:jc w:val="right"/>
      </w:pPr>
      <w:r>
        <w:t>государственный советник</w:t>
      </w:r>
    </w:p>
    <w:p w14:paraId="1BF21F76" w14:textId="77777777" w:rsidR="00F636E3" w:rsidRDefault="00F636E3" w:rsidP="00F636E3">
      <w:pPr>
        <w:pStyle w:val="ConsPlusNormal"/>
        <w:jc w:val="right"/>
      </w:pPr>
      <w:r>
        <w:t>Российской Федерации</w:t>
      </w:r>
    </w:p>
    <w:p w14:paraId="32ADB800" w14:textId="77777777" w:rsidR="00F636E3" w:rsidRDefault="00F636E3" w:rsidP="00F636E3">
      <w:pPr>
        <w:pStyle w:val="ConsPlusNormal"/>
        <w:jc w:val="right"/>
      </w:pPr>
      <w:r>
        <w:t>2 класса</w:t>
      </w:r>
    </w:p>
    <w:p w14:paraId="4D78B270" w14:textId="77777777" w:rsidR="00F636E3" w:rsidRDefault="00F636E3" w:rsidP="00F636E3">
      <w:pPr>
        <w:pStyle w:val="ConsPlusNormal"/>
        <w:jc w:val="right"/>
      </w:pPr>
      <w:r>
        <w:t>Д.С.САТИН</w:t>
      </w:r>
    </w:p>
    <w:p w14:paraId="2A6255BF" w14:textId="77777777" w:rsidR="00F636E3" w:rsidRDefault="00F636E3" w:rsidP="00F636E3">
      <w:pPr>
        <w:pStyle w:val="ConsPlusNormal"/>
        <w:jc w:val="both"/>
      </w:pPr>
    </w:p>
    <w:p w14:paraId="198038CF" w14:textId="77777777" w:rsidR="00F636E3" w:rsidRDefault="00F636E3" w:rsidP="00F636E3">
      <w:pPr>
        <w:pStyle w:val="ConsPlusNormal"/>
        <w:jc w:val="both"/>
      </w:pPr>
    </w:p>
    <w:p w14:paraId="67102E6B" w14:textId="77777777" w:rsidR="00F636E3" w:rsidRDefault="00F636E3" w:rsidP="00F636E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2D1BB2D" w14:textId="77777777" w:rsidR="00F636E3" w:rsidRDefault="00F636E3" w:rsidP="00F636E3"/>
    <w:p w14:paraId="6ED2DFF8" w14:textId="77777777" w:rsidR="00047714" w:rsidRDefault="00047714"/>
    <w:sectPr w:rsidR="00047714" w:rsidSect="00BB360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E3"/>
    <w:rsid w:val="00047714"/>
    <w:rsid w:val="00BB3605"/>
    <w:rsid w:val="00F6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6BD4D6"/>
  <w15:chartTrackingRefBased/>
  <w15:docId w15:val="{8EE8CFBC-6F5C-4348-8FCB-C0695E9A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6E3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6E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F636E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2"/>
      <w:lang w:eastAsia="ru-RU"/>
    </w:rPr>
  </w:style>
  <w:style w:type="paragraph" w:customStyle="1" w:styleId="ConsPlusTitlePage">
    <w:name w:val="ConsPlusTitlePage"/>
    <w:uiPriority w:val="99"/>
    <w:rsid w:val="00F636E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2896&amp;dst=26462" TargetMode="External"/><Relationship Id="rId18" Type="http://schemas.openxmlformats.org/officeDocument/2006/relationships/hyperlink" Target="https://login.consultant.ru/link/?req=doc&amp;base=LAW&amp;n=466853&amp;dst=26679" TargetMode="External"/><Relationship Id="rId26" Type="http://schemas.openxmlformats.org/officeDocument/2006/relationships/hyperlink" Target="https://login.consultant.ru/link/?req=doc&amp;base=LAW&amp;n=482529&amp;dst=100771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LAW&amp;n=482896&amp;dst=26462" TargetMode="External"/><Relationship Id="rId34" Type="http://schemas.openxmlformats.org/officeDocument/2006/relationships/hyperlink" Target="https://login.consultant.ru/link/?req=doc&amp;base=LAW&amp;n=482896&amp;dst=26463" TargetMode="External"/><Relationship Id="rId7" Type="http://schemas.openxmlformats.org/officeDocument/2006/relationships/hyperlink" Target="https://login.consultant.ru/link/?req=doc&amp;base=LAW&amp;n=482529" TargetMode="External"/><Relationship Id="rId12" Type="http://schemas.openxmlformats.org/officeDocument/2006/relationships/hyperlink" Target="https://login.consultant.ru/link/?req=doc&amp;base=LAW&amp;n=482896&amp;dst=101834" TargetMode="External"/><Relationship Id="rId17" Type="http://schemas.openxmlformats.org/officeDocument/2006/relationships/hyperlink" Target="https://login.consultant.ru/link/?req=doc&amp;base=LAW&amp;n=482896&amp;dst=26465" TargetMode="External"/><Relationship Id="rId25" Type="http://schemas.openxmlformats.org/officeDocument/2006/relationships/hyperlink" Target="https://login.consultant.ru/link/?req=doc&amp;base=LAW&amp;n=482529&amp;dst=100762" TargetMode="External"/><Relationship Id="rId33" Type="http://schemas.openxmlformats.org/officeDocument/2006/relationships/hyperlink" Target="https://login.consultant.ru/link/?req=doc&amp;base=LAW&amp;n=482896&amp;dst=26462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896&amp;dst=26464" TargetMode="External"/><Relationship Id="rId20" Type="http://schemas.openxmlformats.org/officeDocument/2006/relationships/hyperlink" Target="https://login.consultant.ru/link/?req=doc&amp;base=LAW&amp;n=482529&amp;dst=100755" TargetMode="External"/><Relationship Id="rId29" Type="http://schemas.openxmlformats.org/officeDocument/2006/relationships/hyperlink" Target="https://login.consultant.ru/link/?req=doc&amp;base=LAW&amp;n=438268&amp;dst=1012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96&amp;dst=100080" TargetMode="External"/><Relationship Id="rId11" Type="http://schemas.openxmlformats.org/officeDocument/2006/relationships/hyperlink" Target="https://login.consultant.ru/link/?req=doc&amp;base=LAW&amp;n=482896&amp;dst=100141" TargetMode="External"/><Relationship Id="rId24" Type="http://schemas.openxmlformats.org/officeDocument/2006/relationships/hyperlink" Target="https://login.consultant.ru/link/?req=doc&amp;base=LAW&amp;n=482896&amp;dst=26465" TargetMode="External"/><Relationship Id="rId32" Type="http://schemas.openxmlformats.org/officeDocument/2006/relationships/hyperlink" Target="https://login.consultant.ru/link/?req=doc&amp;base=LAW&amp;n=482529" TargetMode="External"/><Relationship Id="rId37" Type="http://schemas.openxmlformats.org/officeDocument/2006/relationships/hyperlink" Target="https://login.consultant.ru/link/?req=doc&amp;base=LAW&amp;n=466853&amp;dst=26679" TargetMode="External"/><Relationship Id="rId5" Type="http://schemas.openxmlformats.org/officeDocument/2006/relationships/hyperlink" Target="https://login.consultant.ru/link/?req=doc&amp;base=LAW&amp;n=482896&amp;dst=100041" TargetMode="External"/><Relationship Id="rId15" Type="http://schemas.openxmlformats.org/officeDocument/2006/relationships/hyperlink" Target="https://login.consultant.ru/link/?req=doc&amp;base=LAW&amp;n=482896&amp;dst=26463" TargetMode="External"/><Relationship Id="rId23" Type="http://schemas.openxmlformats.org/officeDocument/2006/relationships/hyperlink" Target="https://login.consultant.ru/link/?req=doc&amp;base=LAW&amp;n=482896&amp;dst=26464" TargetMode="External"/><Relationship Id="rId28" Type="http://schemas.openxmlformats.org/officeDocument/2006/relationships/hyperlink" Target="https://login.consultant.ru/link/?req=doc&amp;base=LAW&amp;n=466853&amp;dst=26679" TargetMode="External"/><Relationship Id="rId36" Type="http://schemas.openxmlformats.org/officeDocument/2006/relationships/hyperlink" Target="https://login.consultant.ru/link/?req=doc&amp;base=LAW&amp;n=482896&amp;dst=26465" TargetMode="External"/><Relationship Id="rId10" Type="http://schemas.openxmlformats.org/officeDocument/2006/relationships/hyperlink" Target="https://login.consultant.ru/link/?req=doc&amp;base=LAW&amp;n=482896&amp;dst=100083" TargetMode="External"/><Relationship Id="rId19" Type="http://schemas.openxmlformats.org/officeDocument/2006/relationships/hyperlink" Target="https://login.consultant.ru/link/?req=doc&amp;base=LAW&amp;n=482529" TargetMode="External"/><Relationship Id="rId31" Type="http://schemas.openxmlformats.org/officeDocument/2006/relationships/hyperlink" Target="https://login.consultant.ru/link/?req=doc&amp;base=LAW&amp;n=438268&amp;dst=1003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2896&amp;dst=100048" TargetMode="External"/><Relationship Id="rId14" Type="http://schemas.openxmlformats.org/officeDocument/2006/relationships/hyperlink" Target="https://login.consultant.ru/link/?req=doc&amp;base=LAW&amp;n=482896&amp;dst=26462" TargetMode="External"/><Relationship Id="rId22" Type="http://schemas.openxmlformats.org/officeDocument/2006/relationships/hyperlink" Target="https://login.consultant.ru/link/?req=doc&amp;base=LAW&amp;n=482896&amp;dst=26463" TargetMode="External"/><Relationship Id="rId27" Type="http://schemas.openxmlformats.org/officeDocument/2006/relationships/hyperlink" Target="https://login.consultant.ru/link/?req=doc&amp;base=LAW&amp;n=482529&amp;dst=100759" TargetMode="External"/><Relationship Id="rId30" Type="http://schemas.openxmlformats.org/officeDocument/2006/relationships/hyperlink" Target="https://login.consultant.ru/link/?req=doc&amp;base=LAW&amp;n=438268&amp;dst=101128" TargetMode="External"/><Relationship Id="rId35" Type="http://schemas.openxmlformats.org/officeDocument/2006/relationships/hyperlink" Target="https://login.consultant.ru/link/?req=doc&amp;base=LAW&amp;n=482896&amp;dst=26464" TargetMode="External"/><Relationship Id="rId8" Type="http://schemas.openxmlformats.org/officeDocument/2006/relationships/hyperlink" Target="https://login.consultant.ru/link/?req=doc&amp;base=LAW&amp;n=482529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1202</Words>
  <Characters>6857</Characters>
  <Application>Microsoft Office Word</Application>
  <DocSecurity>0</DocSecurity>
  <Lines>57</Lines>
  <Paragraphs>16</Paragraphs>
  <ScaleCrop>false</ScaleCrop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2024-09-24T05:31:00Z</dcterms:created>
  <dcterms:modified xsi:type="dcterms:W3CDTF">2024-09-24T05:31:00Z</dcterms:modified>
</cp:coreProperties>
</file>